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D42CBA3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基建、修缮工程项目审计第三方审计机构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要求</w:t>
      </w:r>
    </w:p>
    <w:p w14:paraId="70FF3896"/>
    <w:p w14:paraId="218DF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一、机构资质与综合实力</w:t>
      </w:r>
    </w:p>
    <w:p w14:paraId="0D572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1.1 执业资质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具备工程造价咨询企业资质（甲级，乙级）；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在咸宁有固定的预算人员、办公场所和办公设备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F0F1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 机构信誉与信用记录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年无行业惩戒、行政处罚或失信记录；在造价协会信用评价中获得AAA级、AA级。</w:t>
      </w:r>
    </w:p>
    <w:p w14:paraId="023C9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1.3 质量与内控体系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通过ISO9001质量管理体系认证；有完善的工程造价审计质量控制制度、三级复核流程。</w:t>
      </w:r>
    </w:p>
    <w:p w14:paraId="046D8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二、同类项目业绩经验</w:t>
      </w:r>
    </w:p>
    <w:p w14:paraId="2ACD5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2.1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</w:t>
      </w:r>
      <w:r>
        <w:rPr>
          <w:rFonts w:hint="eastAsia" w:ascii="仿宋" w:hAnsi="仿宋" w:eastAsia="仿宋" w:cs="仿宋"/>
          <w:sz w:val="32"/>
          <w:szCs w:val="32"/>
        </w:rPr>
        <w:t>校或事业单位基建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修缮审计业绩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近三年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完成过学</w:t>
      </w:r>
      <w:r>
        <w:rPr>
          <w:rFonts w:hint="eastAsia" w:ascii="仿宋" w:hAnsi="仿宋" w:eastAsia="仿宋" w:cs="仿宋"/>
          <w:sz w:val="32"/>
          <w:szCs w:val="32"/>
        </w:rPr>
        <w:t>校或同类事业单位基建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修缮</w:t>
      </w:r>
      <w:r>
        <w:rPr>
          <w:rFonts w:hint="eastAsia" w:ascii="仿宋" w:hAnsi="仿宋" w:eastAsia="仿宋" w:cs="仿宋"/>
          <w:sz w:val="32"/>
          <w:szCs w:val="32"/>
        </w:rPr>
        <w:t>工程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  <w:szCs w:val="32"/>
        </w:rPr>
        <w:t>结算审核或全过程跟踪审计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07FC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 其他工程审计业绩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近三年承担过其他公共建筑、市政或装饰装修工程审计项目（需提供盖章的结算审核报告或成果文件）。</w:t>
      </w:r>
    </w:p>
    <w:p w14:paraId="65F87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三、项目团队配置</w:t>
      </w:r>
    </w:p>
    <w:p w14:paraId="0A578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3.1 项目负责人资历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项目负责人为一级注册造价工程师（土建或安装）；具有高级工程师职称；近三年主持过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或事业单位工程审计项目。</w:t>
      </w:r>
    </w:p>
    <w:p w14:paraId="6175C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3.2 团队人员构成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拟派团队中一级注册造价工程师不少于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人；配备土建、安装等专业造价人员，专业齐全；有中级以上职称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sz w:val="32"/>
          <w:szCs w:val="32"/>
        </w:rPr>
        <w:t>5年以上工程审计经验者。</w:t>
      </w:r>
    </w:p>
    <w:p w14:paraId="73179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3.3 驻场与人员稳定性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承诺审计期间核心成员全程驻场、不随意更换；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要随叫随到，服务意识要强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89E1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四、审计实施方案</w:t>
      </w:r>
    </w:p>
    <w:p w14:paraId="49DC1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4.1 对项目需求的理解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准确把握基建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修缮工程审计重点（如工程量复核、材料价格、签证变更、定额套用、竣工结算等）；针对学校修缮项目零散、隐蔽工程多等特点提出针对性措施。</w:t>
      </w:r>
    </w:p>
    <w:p w14:paraId="113FF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4.2 审计程序与方法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审核程序清晰（现场勘验、资料核对、市场询价等）；采用信息化手段（如广联达、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品茗</w:t>
      </w:r>
      <w:r>
        <w:rPr>
          <w:rFonts w:hint="eastAsia" w:ascii="仿宋" w:hAnsi="仿宋" w:eastAsia="仿宋" w:cs="仿宋"/>
          <w:sz w:val="32"/>
          <w:szCs w:val="32"/>
        </w:rPr>
        <w:t>等算量计价软件，BIM或数据分析）。</w:t>
      </w:r>
    </w:p>
    <w:p w14:paraId="46CD0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4.3 进度计划与保障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单个项目响应时间、完成时限安排合理；有明确的进度控制与延期补救措施。</w:t>
      </w:r>
    </w:p>
    <w:p w14:paraId="61721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4.4 质量与风险控制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有三级复核制度（一审、二审、三审）；对高估冒算、不平衡报价等风险的识别与应对措施。</w:t>
      </w:r>
    </w:p>
    <w:p w14:paraId="34281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五、报价合理性</w:t>
      </w:r>
    </w:p>
    <w:p w14:paraId="0DF15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5.1 报价水平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采用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固定下浮率</w:t>
      </w:r>
      <w:r>
        <w:rPr>
          <w:rFonts w:hint="eastAsia" w:ascii="仿宋" w:hAnsi="仿宋" w:eastAsia="仿宋" w:cs="仿宋"/>
          <w:sz w:val="32"/>
          <w:szCs w:val="32"/>
        </w:rPr>
        <w:t>法：满足要求的有效最低报价为基准价，报价得分按（基准价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报价）计算。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标准收费参照</w:t>
      </w:r>
      <w:r>
        <w:rPr>
          <w:rFonts w:hint="eastAsia" w:ascii="仿宋" w:hAnsi="仿宋" w:eastAsia="仿宋" w:cs="仿宋"/>
          <w:sz w:val="32"/>
          <w:szCs w:val="32"/>
        </w:rPr>
        <w:t>湖北省建设工程造价咨询服务收费参考标准（试行）》（鄂建文〔2023〕33 号，2023-09-04 施行）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不足3000元按照3000元计。</w:t>
      </w:r>
    </w:p>
    <w:p w14:paraId="1AC7A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5.2 报价组成明细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报价包含各项费用明细（基本审计费、效益收费比例等）且无隐藏收费；承诺效益收费费率合理。</w:t>
      </w:r>
    </w:p>
    <w:p w14:paraId="40F4B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六、服务承诺与增值服务</w:t>
      </w:r>
      <w:bookmarkStart w:id="0" w:name="_GoBack"/>
      <w:bookmarkEnd w:id="0"/>
    </w:p>
    <w:p w14:paraId="78D94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6.1 售后服务与配合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承诺审计后提供对账、解释、配合复审或审计抽查；紧急项目2小时内响应。</w:t>
      </w:r>
    </w:p>
    <w:p w14:paraId="7DA6F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6.2 增值服务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免费提供工程管理建议、合同条款咨询或造价指标分析；提供电子版底稿及算量模型文件。</w:t>
      </w:r>
    </w:p>
    <w:p w14:paraId="7F67E25E">
      <w:pPr>
        <w:rPr>
          <w:rFonts w:hint="eastAsia" w:ascii="仿宋" w:hAnsi="仿宋" w:eastAsia="仿宋" w:cs="仿宋"/>
          <w:sz w:val="32"/>
          <w:szCs w:val="32"/>
        </w:rPr>
      </w:pPr>
    </w:p>
    <w:p w14:paraId="023BE8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2A0A5B-EEB3-46CC-A385-08C82A8CB3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6688D78-5602-4E5A-88D6-6CABDDA9BB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9A47162-52E4-4D70-815C-9B06A56EDC38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DE2339"/>
    <w:rsid w:val="05311F19"/>
    <w:rsid w:val="10BE10ED"/>
    <w:rsid w:val="19E576EB"/>
    <w:rsid w:val="1AA3461B"/>
    <w:rsid w:val="22337A14"/>
    <w:rsid w:val="276C5CB3"/>
    <w:rsid w:val="2979049E"/>
    <w:rsid w:val="2B101AA1"/>
    <w:rsid w:val="2CF62ADB"/>
    <w:rsid w:val="30D36CAE"/>
    <w:rsid w:val="31B40C86"/>
    <w:rsid w:val="32AF71DA"/>
    <w:rsid w:val="331951BE"/>
    <w:rsid w:val="3482493D"/>
    <w:rsid w:val="39672F74"/>
    <w:rsid w:val="43703B37"/>
    <w:rsid w:val="4B3814C1"/>
    <w:rsid w:val="4BF058F8"/>
    <w:rsid w:val="4D01600E"/>
    <w:rsid w:val="4D2D5705"/>
    <w:rsid w:val="5D2D156D"/>
    <w:rsid w:val="61AD2013"/>
    <w:rsid w:val="692948AB"/>
    <w:rsid w:val="6A6A0890"/>
    <w:rsid w:val="7A5016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1022</Words>
  <Characters>1088</Characters>
  <Paragraphs>37</Paragraphs>
  <TotalTime>4</TotalTime>
  <ScaleCrop>false</ScaleCrop>
  <LinksUpToDate>false</LinksUpToDate>
  <CharactersWithSpaces>1106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2026-04-17T07:12:00Z</dcterms:created>
  <dc:creator>2602BRT18C</dc:creator>
  <cp:lastModifiedBy>央扬仰漾</cp:lastModifiedBy>
  <cp:lastPrinted>2026-04-24T01:54:00Z</cp:lastPrinted>
  <dcterms:modified xsi:type="dcterms:W3CDTF">2026-05-06T08:03:45Z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74E751C89A2C4191BA8F39434B72691A_13</vt:lpwstr>
  </property>
  <property fmtid="{D5CDD505-2E9C-101B-9397-08002B2CF9AE}" pid="3" name="KSOTemplateDocerSaveRecord">
    <vt:lpwstr>eyJoZGlkIjoiMmNmZjQzZWRkYTRlOTQ4ZGFhODA0NDQ5Njc0ZDE4MGQiLCJ1c2VySWQiOiIyNjk5MjA5MzcifQ==</vt:lpwstr>
  </property>
  <property fmtid="{D5CDD505-2E9C-101B-9397-08002B2CF9AE}" pid="4" name="KSOProductBuildVer">
    <vt:lpwstr>2052-12.1.0.25225</vt:lpwstr>
  </property>
</Properties>
</file>